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4"/>
        <w:tblW w:w="10490" w:type="dxa"/>
        <w:tblInd w:w="-714" w:type="dxa"/>
        <w:tblLook w:val="0480" w:firstRow="0" w:lastRow="0" w:firstColumn="1" w:lastColumn="0" w:noHBand="0" w:noVBand="1"/>
      </w:tblPr>
      <w:tblGrid>
        <w:gridCol w:w="3686"/>
        <w:gridCol w:w="6804"/>
      </w:tblGrid>
      <w:tr w:rsidR="004268C0" w14:paraId="5D8E6769" w14:textId="77777777" w:rsidTr="00C6639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686" w:type="dxa"/>
          </w:tcPr>
          <w:p w14:paraId="105D9756" w14:textId="13A4CE53" w:rsidR="004268C0" w:rsidRDefault="004268C0">
            <w:r>
              <w:t>Name:</w:t>
            </w:r>
          </w:p>
        </w:tc>
        <w:tc>
          <w:tcPr>
            <w:tcW w:w="6804" w:type="dxa"/>
          </w:tcPr>
          <w:p w14:paraId="718384E6" w14:textId="6DA88351" w:rsidR="004268C0" w:rsidRDefault="002E11E5">
            <w:pPr>
              <w:cnfStyle w:val="000000100000" w:firstRow="0" w:lastRow="0" w:firstColumn="0" w:lastColumn="0" w:oddVBand="0" w:evenVBand="0" w:oddHBand="1" w:evenHBand="0" w:firstRowFirstColumn="0" w:firstRowLastColumn="0" w:lastRowFirstColumn="0" w:lastRowLastColumn="0"/>
            </w:pPr>
            <w:r>
              <w:t>Karl Sylvester</w:t>
            </w:r>
          </w:p>
        </w:tc>
      </w:tr>
      <w:tr w:rsidR="004268C0" w14:paraId="06072486" w14:textId="77777777" w:rsidTr="00C66398">
        <w:trPr>
          <w:trHeight w:val="552"/>
        </w:trPr>
        <w:tc>
          <w:tcPr>
            <w:cnfStyle w:val="001000000000" w:firstRow="0" w:lastRow="0" w:firstColumn="1" w:lastColumn="0" w:oddVBand="0" w:evenVBand="0" w:oddHBand="0" w:evenHBand="0" w:firstRowFirstColumn="0" w:firstRowLastColumn="0" w:lastRowFirstColumn="0" w:lastRowLastColumn="0"/>
            <w:tcW w:w="3686" w:type="dxa"/>
          </w:tcPr>
          <w:p w14:paraId="3B220ABA" w14:textId="1FC3962D" w:rsidR="004268C0" w:rsidRDefault="004268C0">
            <w:r>
              <w:t xml:space="preserve">Job Title (and </w:t>
            </w:r>
            <w:proofErr w:type="spellStart"/>
            <w:r>
              <w:t>AfC</w:t>
            </w:r>
            <w:proofErr w:type="spellEnd"/>
            <w:r>
              <w:t xml:space="preserve"> Band):</w:t>
            </w:r>
          </w:p>
        </w:tc>
        <w:tc>
          <w:tcPr>
            <w:tcW w:w="6804" w:type="dxa"/>
          </w:tcPr>
          <w:p w14:paraId="24024469" w14:textId="1CA87FC3" w:rsidR="004268C0" w:rsidRDefault="002E11E5">
            <w:pPr>
              <w:cnfStyle w:val="000000000000" w:firstRow="0" w:lastRow="0" w:firstColumn="0" w:lastColumn="0" w:oddVBand="0" w:evenVBand="0" w:oddHBand="0" w:evenHBand="0" w:firstRowFirstColumn="0" w:firstRowLastColumn="0" w:lastRowFirstColumn="0" w:lastRowLastColumn="0"/>
            </w:pPr>
            <w:r>
              <w:t>Consultant Healthcare Scientist 8d</w:t>
            </w:r>
          </w:p>
        </w:tc>
      </w:tr>
      <w:tr w:rsidR="004268C0" w14:paraId="7FC5E823" w14:textId="77777777" w:rsidTr="00C6639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3686" w:type="dxa"/>
          </w:tcPr>
          <w:p w14:paraId="5B10DAE1" w14:textId="04420168" w:rsidR="004268C0" w:rsidRDefault="004268C0">
            <w:r>
              <w:t>Organisation and Region:</w:t>
            </w:r>
          </w:p>
        </w:tc>
        <w:tc>
          <w:tcPr>
            <w:tcW w:w="6804" w:type="dxa"/>
          </w:tcPr>
          <w:p w14:paraId="30A9DE67" w14:textId="4093366E" w:rsidR="004268C0" w:rsidRDefault="002E11E5">
            <w:pPr>
              <w:cnfStyle w:val="000000100000" w:firstRow="0" w:lastRow="0" w:firstColumn="0" w:lastColumn="0" w:oddVBand="0" w:evenVBand="0" w:oddHBand="1" w:evenHBand="0" w:firstRowFirstColumn="0" w:firstRowLastColumn="0" w:lastRowFirstColumn="0" w:lastRowLastColumn="0"/>
            </w:pPr>
            <w:r>
              <w:t>Royal Papworth and Cambridge University Hospitals NHSFT, East of England</w:t>
            </w:r>
          </w:p>
        </w:tc>
      </w:tr>
      <w:tr w:rsidR="004268C0" w14:paraId="0A0D9480" w14:textId="77777777" w:rsidTr="00C66398">
        <w:trPr>
          <w:trHeight w:val="4087"/>
        </w:trPr>
        <w:tc>
          <w:tcPr>
            <w:cnfStyle w:val="001000000000" w:firstRow="0" w:lastRow="0" w:firstColumn="1" w:lastColumn="0" w:oddVBand="0" w:evenVBand="0" w:oddHBand="0" w:evenHBand="0" w:firstRowFirstColumn="0" w:firstRowLastColumn="0" w:lastRowFirstColumn="0" w:lastRowLastColumn="0"/>
            <w:tcW w:w="3686" w:type="dxa"/>
          </w:tcPr>
          <w:p w14:paraId="253B9EC4" w14:textId="77777777" w:rsidR="004268C0" w:rsidRDefault="004268C0">
            <w:r>
              <w:t>Overview of your role:</w:t>
            </w:r>
          </w:p>
          <w:p w14:paraId="666774EF" w14:textId="31EEB4F3" w:rsidR="004268C0" w:rsidRPr="004268C0" w:rsidRDefault="004268C0">
            <w:pPr>
              <w:rPr>
                <w:i/>
                <w:iCs/>
              </w:rPr>
            </w:pPr>
            <w:r>
              <w:rPr>
                <w:i/>
                <w:iCs/>
                <w:sz w:val="20"/>
                <w:szCs w:val="20"/>
              </w:rPr>
              <w:t>A</w:t>
            </w:r>
            <w:r w:rsidRPr="004268C0">
              <w:rPr>
                <w:i/>
                <w:iCs/>
                <w:sz w:val="20"/>
                <w:szCs w:val="20"/>
              </w:rPr>
              <w:t xml:space="preserve"> short summary of your current role (100-150 words)</w:t>
            </w:r>
            <w:r>
              <w:rPr>
                <w:i/>
                <w:iCs/>
                <w:sz w:val="20"/>
                <w:szCs w:val="20"/>
              </w:rPr>
              <w:t>, cover things like your remit (i.e. clinical, managerial, strategic), are you leading a team or service? Which services or patient cohorts do you focus on? Contributions to education, research, or service development</w:t>
            </w:r>
          </w:p>
        </w:tc>
        <w:tc>
          <w:tcPr>
            <w:tcW w:w="6804" w:type="dxa"/>
          </w:tcPr>
          <w:p w14:paraId="7CDD2549" w14:textId="77777777" w:rsidR="002E11E5" w:rsidRDefault="002E11E5" w:rsidP="002E11E5">
            <w:pPr>
              <w:cnfStyle w:val="000000000000" w:firstRow="0" w:lastRow="0" w:firstColumn="0" w:lastColumn="0" w:oddVBand="0" w:evenVBand="0" w:oddHBand="0" w:evenHBand="0" w:firstRowFirstColumn="0" w:firstRowLastColumn="0" w:lastRowFirstColumn="0" w:lastRowLastColumn="0"/>
            </w:pPr>
            <w:r>
              <w:t xml:space="preserve">The Healthcare Scientist Consultant has clinical responsibility for respiratory physiology services at Cambridge University Hospitals (Adult and Paediatric Lung Function/Cardiopulmonary Exercise Testing/Commercial and Non-Commercial Research), Royal Papworth Hospital (Adult Lung Function/Cardiopulmonary Exercise Testing/Commercial and Non-Commercial Research) and the Community Diagnostic Centres, Ely &amp; Wisbech, ensuring that the services are running smoothly and efficiently on a day to day basis.  In </w:t>
            </w:r>
            <w:proofErr w:type="gramStart"/>
            <w:r>
              <w:t>addition</w:t>
            </w:r>
            <w:proofErr w:type="gramEnd"/>
            <w:r>
              <w:t xml:space="preserve"> they will provide strategic direction for the services, ensuring clinical leadership to Respiratory Healthcare Scientists. The post holder will manage departmental and research budgets and have overall responsibility for the training and supervision of healthcare scientists, medical and non-medical staff at all grades. </w:t>
            </w:r>
          </w:p>
          <w:p w14:paraId="4AEC66F7" w14:textId="77777777" w:rsidR="002E11E5" w:rsidRDefault="002E11E5" w:rsidP="002E11E5">
            <w:pPr>
              <w:cnfStyle w:val="000000000000" w:firstRow="0" w:lastRow="0" w:firstColumn="0" w:lastColumn="0" w:oddVBand="0" w:evenVBand="0" w:oddHBand="0" w:evenHBand="0" w:firstRowFirstColumn="0" w:firstRowLastColumn="0" w:lastRowFirstColumn="0" w:lastRowLastColumn="0"/>
            </w:pPr>
          </w:p>
          <w:p w14:paraId="6A36FEE6" w14:textId="77777777" w:rsidR="002E11E5" w:rsidRDefault="002E11E5" w:rsidP="002E11E5">
            <w:pPr>
              <w:cnfStyle w:val="000000000000" w:firstRow="0" w:lastRow="0" w:firstColumn="0" w:lastColumn="0" w:oddVBand="0" w:evenVBand="0" w:oddHBand="0" w:evenHBand="0" w:firstRowFirstColumn="0" w:firstRowLastColumn="0" w:lastRowFirstColumn="0" w:lastRowLastColumn="0"/>
            </w:pPr>
            <w:r>
              <w:t>The Healthcare Scientist Consultant will play a direct role in the management of patients referred to the Community Diagnostic Centre on a breathlessness pathway, as part of a multi-professional team, including assessment of the patient’s relevant history, developing an investigation strategy, interpreting results and agreeing a management and treatment plan in partnership with the patient, medical staff and the rest of the multi professional team.</w:t>
            </w:r>
          </w:p>
          <w:p w14:paraId="5ADDB058" w14:textId="77777777" w:rsidR="002E11E5" w:rsidRDefault="002E11E5" w:rsidP="002E11E5">
            <w:pPr>
              <w:cnfStyle w:val="000000000000" w:firstRow="0" w:lastRow="0" w:firstColumn="0" w:lastColumn="0" w:oddVBand="0" w:evenVBand="0" w:oddHBand="0" w:evenHBand="0" w:firstRowFirstColumn="0" w:firstRowLastColumn="0" w:lastRowFirstColumn="0" w:lastRowLastColumn="0"/>
            </w:pPr>
          </w:p>
          <w:p w14:paraId="05C3044D" w14:textId="77777777" w:rsidR="002E11E5" w:rsidRDefault="002E11E5" w:rsidP="002E11E5">
            <w:pPr>
              <w:cnfStyle w:val="000000000000" w:firstRow="0" w:lastRow="0" w:firstColumn="0" w:lastColumn="0" w:oddVBand="0" w:evenVBand="0" w:oddHBand="0" w:evenHBand="0" w:firstRowFirstColumn="0" w:firstRowLastColumn="0" w:lastRowFirstColumn="0" w:lastRowLastColumn="0"/>
            </w:pPr>
            <w:r>
              <w:t xml:space="preserve">The Healthcare Scientist Consultant has sole responsibility for the acceptance of proposals to conduct commercial research trials within the departments and will ensure the respiratory physiology units deliver innovative translational research and present results to national and international audiences of medical experts. </w:t>
            </w:r>
          </w:p>
          <w:p w14:paraId="2588B9C4" w14:textId="77777777" w:rsidR="002E11E5" w:rsidRDefault="002E11E5" w:rsidP="002E11E5">
            <w:pPr>
              <w:cnfStyle w:val="000000000000" w:firstRow="0" w:lastRow="0" w:firstColumn="0" w:lastColumn="0" w:oddVBand="0" w:evenVBand="0" w:oddHBand="0" w:evenHBand="0" w:firstRowFirstColumn="0" w:firstRowLastColumn="0" w:lastRowFirstColumn="0" w:lastRowLastColumn="0"/>
            </w:pPr>
          </w:p>
          <w:p w14:paraId="094B6C19" w14:textId="77777777" w:rsidR="002E11E5" w:rsidRDefault="002E11E5" w:rsidP="002E11E5">
            <w:pPr>
              <w:cnfStyle w:val="000000000000" w:firstRow="0" w:lastRow="0" w:firstColumn="0" w:lastColumn="0" w:oddVBand="0" w:evenVBand="0" w:oddHBand="0" w:evenHBand="0" w:firstRowFirstColumn="0" w:firstRowLastColumn="0" w:lastRowFirstColumn="0" w:lastRowLastColumn="0"/>
            </w:pPr>
            <w:r>
              <w:t xml:space="preserve">The Healthcare Scientist Consultant will ensure successful </w:t>
            </w:r>
            <w:proofErr w:type="gramStart"/>
            <w:r>
              <w:t>long term</w:t>
            </w:r>
            <w:proofErr w:type="gramEnd"/>
            <w:r>
              <w:t xml:space="preserve"> planning, including succession planning and the effective continuation of best practice, raising the profile of the departments through significant involvement with national and international professional bodies, ideally through senior officer roles. They will ensure that the Respiratory Physiology teams are </w:t>
            </w:r>
            <w:r>
              <w:lastRenderedPageBreak/>
              <w:t>delivering a high standard of clinical testing, ensuring there are systems in place to quality assure the output of the team.</w:t>
            </w:r>
          </w:p>
          <w:p w14:paraId="2D7EB108" w14:textId="77777777" w:rsidR="002E11E5" w:rsidRDefault="002E11E5" w:rsidP="002E11E5">
            <w:pPr>
              <w:cnfStyle w:val="000000000000" w:firstRow="0" w:lastRow="0" w:firstColumn="0" w:lastColumn="0" w:oddVBand="0" w:evenVBand="0" w:oddHBand="0" w:evenHBand="0" w:firstRowFirstColumn="0" w:firstRowLastColumn="0" w:lastRowFirstColumn="0" w:lastRowLastColumn="0"/>
            </w:pPr>
          </w:p>
          <w:p w14:paraId="29FDD628" w14:textId="705A515A" w:rsidR="004268C0" w:rsidRDefault="002E11E5" w:rsidP="002E11E5">
            <w:pPr>
              <w:cnfStyle w:val="000000000000" w:firstRow="0" w:lastRow="0" w:firstColumn="0" w:lastColumn="0" w:oddVBand="0" w:evenVBand="0" w:oddHBand="0" w:evenHBand="0" w:firstRowFirstColumn="0" w:firstRowLastColumn="0" w:lastRowFirstColumn="0" w:lastRowLastColumn="0"/>
            </w:pPr>
            <w:r>
              <w:t>The Healthcare Scientist Consultant will represent the departments to the wider hospitals, working with other departments and clinical teams to ensure the Respiratory Physiology teams are meeting clinical need.</w:t>
            </w:r>
          </w:p>
        </w:tc>
      </w:tr>
      <w:tr w:rsidR="004268C0" w14:paraId="37C48E63" w14:textId="77777777" w:rsidTr="00C66398">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3686" w:type="dxa"/>
          </w:tcPr>
          <w:p w14:paraId="65D74416" w14:textId="77777777" w:rsidR="004268C0" w:rsidRDefault="004268C0">
            <w:r>
              <w:lastRenderedPageBreak/>
              <w:t>Key Responsibilities:</w:t>
            </w:r>
          </w:p>
          <w:p w14:paraId="4606AF6B" w14:textId="554888D5" w:rsidR="004268C0" w:rsidRDefault="004268C0">
            <w:r>
              <w:rPr>
                <w:i/>
                <w:iCs/>
                <w:sz w:val="20"/>
                <w:szCs w:val="20"/>
              </w:rPr>
              <w:t>Bullet point list</w:t>
            </w:r>
          </w:p>
        </w:tc>
        <w:tc>
          <w:tcPr>
            <w:tcW w:w="6804" w:type="dxa"/>
          </w:tcPr>
          <w:p w14:paraId="09846933" w14:textId="3E3ECAB3" w:rsidR="004268C0" w:rsidRDefault="002E11E5"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I’ve attached JD, probably easier</w:t>
            </w:r>
          </w:p>
        </w:tc>
      </w:tr>
      <w:tr w:rsidR="004268C0" w14:paraId="7FA823A8" w14:textId="77777777" w:rsidTr="00C66398">
        <w:trPr>
          <w:trHeight w:val="1683"/>
        </w:trPr>
        <w:tc>
          <w:tcPr>
            <w:cnfStyle w:val="001000000000" w:firstRow="0" w:lastRow="0" w:firstColumn="1" w:lastColumn="0" w:oddVBand="0" w:evenVBand="0" w:oddHBand="0" w:evenHBand="0" w:firstRowFirstColumn="0" w:firstRowLastColumn="0" w:lastRowFirstColumn="0" w:lastRowLastColumn="0"/>
            <w:tcW w:w="3686" w:type="dxa"/>
          </w:tcPr>
          <w:p w14:paraId="7ACA6260" w14:textId="77777777" w:rsidR="004268C0" w:rsidRDefault="00C66398">
            <w:r>
              <w:t>Impact and achievements</w:t>
            </w:r>
          </w:p>
          <w:p w14:paraId="0A974309" w14:textId="08752D79" w:rsidR="00C66398" w:rsidRDefault="00C66398">
            <w:r>
              <w:rPr>
                <w:i/>
                <w:iCs/>
                <w:sz w:val="20"/>
                <w:szCs w:val="20"/>
              </w:rPr>
              <w:t>Describe how your role has made a difference</w:t>
            </w:r>
          </w:p>
        </w:tc>
        <w:tc>
          <w:tcPr>
            <w:tcW w:w="6804" w:type="dxa"/>
          </w:tcPr>
          <w:p w14:paraId="183ABC12" w14:textId="3DA667DD" w:rsidR="002E11E5" w:rsidRDefault="002E11E5">
            <w:pPr>
              <w:cnfStyle w:val="000000000000" w:firstRow="0" w:lastRow="0" w:firstColumn="0" w:lastColumn="0" w:oddVBand="0" w:evenVBand="0" w:oddHBand="0" w:evenHBand="0" w:firstRowFirstColumn="0" w:firstRowLastColumn="0" w:lastRowFirstColumn="0" w:lastRowLastColumn="0"/>
            </w:pPr>
            <w:r>
              <w:t xml:space="preserve">Too many to list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260830A6" w14:textId="77777777" w:rsidR="002E11E5" w:rsidRDefault="002E11E5">
            <w:pPr>
              <w:cnfStyle w:val="000000000000" w:firstRow="0" w:lastRow="0" w:firstColumn="0" w:lastColumn="0" w:oddVBand="0" w:evenVBand="0" w:oddHBand="0" w:evenHBand="0" w:firstRowFirstColumn="0" w:firstRowLastColumn="0" w:lastRowFirstColumn="0" w:lastRowLastColumn="0"/>
            </w:pPr>
          </w:p>
          <w:p w14:paraId="46F359A0" w14:textId="77777777" w:rsidR="004268C0" w:rsidRDefault="002E11E5">
            <w:pPr>
              <w:cnfStyle w:val="000000000000" w:firstRow="0" w:lastRow="0" w:firstColumn="0" w:lastColumn="0" w:oddVBand="0" w:evenVBand="0" w:oddHBand="0" w:evenHBand="0" w:firstRowFirstColumn="0" w:firstRowLastColumn="0" w:lastRowFirstColumn="0" w:lastRowLastColumn="0"/>
            </w:pPr>
            <w:r>
              <w:t>Biggest recent impact is reducing waiting times for patients with breathlessness for diagnostics and outcome from 4-5 months in respiratory medicine to 40 days from referral to outcome letter at the CDCs.</w:t>
            </w:r>
          </w:p>
          <w:p w14:paraId="3E443B37" w14:textId="77777777" w:rsidR="002E11E5" w:rsidRDefault="002E11E5">
            <w:pPr>
              <w:cnfStyle w:val="000000000000" w:firstRow="0" w:lastRow="0" w:firstColumn="0" w:lastColumn="0" w:oddVBand="0" w:evenVBand="0" w:oddHBand="0" w:evenHBand="0" w:firstRowFirstColumn="0" w:firstRowLastColumn="0" w:lastRowFirstColumn="0" w:lastRowLastColumn="0"/>
            </w:pPr>
            <w:r>
              <w:t>Aligning two specialist services across two Trusts to perform respiratory procedures to the same standards.</w:t>
            </w:r>
          </w:p>
          <w:p w14:paraId="4FF3E944" w14:textId="77777777" w:rsidR="002E11E5" w:rsidRDefault="002E11E5">
            <w:pPr>
              <w:cnfStyle w:val="000000000000" w:firstRow="0" w:lastRow="0" w:firstColumn="0" w:lastColumn="0" w:oddVBand="0" w:evenVBand="0" w:oddHBand="0" w:evenHBand="0" w:firstRowFirstColumn="0" w:firstRowLastColumn="0" w:lastRowFirstColumn="0" w:lastRowLastColumn="0"/>
            </w:pPr>
            <w:r>
              <w:t>Bringing the agency spend to £0 from £170Kpa</w:t>
            </w:r>
          </w:p>
          <w:p w14:paraId="67F3664A" w14:textId="12F850B5" w:rsidR="002E11E5" w:rsidRDefault="002E11E5">
            <w:pPr>
              <w:cnfStyle w:val="000000000000" w:firstRow="0" w:lastRow="0" w:firstColumn="0" w:lastColumn="0" w:oddVBand="0" w:evenVBand="0" w:oddHBand="0" w:evenHBand="0" w:firstRowFirstColumn="0" w:firstRowLastColumn="0" w:lastRowFirstColumn="0" w:lastRowLastColumn="0"/>
            </w:pPr>
            <w:r>
              <w:t xml:space="preserve">Raising the research profile of both departments with multiple accepted abstracts at several </w:t>
            </w:r>
            <w:proofErr w:type="gramStart"/>
            <w:r>
              <w:t>high profile</w:t>
            </w:r>
            <w:proofErr w:type="gramEnd"/>
            <w:r>
              <w:t xml:space="preserve"> conferences plus increased publication output.</w:t>
            </w:r>
          </w:p>
        </w:tc>
      </w:tr>
      <w:tr w:rsidR="00C66398" w14:paraId="1ACF1A24" w14:textId="77777777" w:rsidTr="00C66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A4CE147" w14:textId="77777777" w:rsidR="00C66398" w:rsidRDefault="00C66398">
            <w:r>
              <w:t>Qualifications and career pathway</w:t>
            </w:r>
          </w:p>
          <w:p w14:paraId="1F566702" w14:textId="58D6F826" w:rsidR="00C66398" w:rsidRDefault="00C66398">
            <w:r>
              <w:rPr>
                <w:i/>
                <w:iCs/>
                <w:sz w:val="20"/>
                <w:szCs w:val="20"/>
              </w:rPr>
              <w:t>Brief outline of your route to consultant clinical scientist</w:t>
            </w:r>
          </w:p>
        </w:tc>
        <w:tc>
          <w:tcPr>
            <w:tcW w:w="6804" w:type="dxa"/>
          </w:tcPr>
          <w:p w14:paraId="3617E1B8" w14:textId="77777777" w:rsidR="00C66398" w:rsidRDefault="002E11E5" w:rsidP="002E11E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BSc Biomedical Science degree – King’s College London</w:t>
            </w:r>
          </w:p>
          <w:p w14:paraId="5DA30DF2" w14:textId="77777777" w:rsidR="002E11E5" w:rsidRDefault="002E11E5" w:rsidP="002E11E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MTO2 role at Royal Brompton Hospital</w:t>
            </w:r>
          </w:p>
          <w:p w14:paraId="113D0E29" w14:textId="77777777" w:rsidR="002E11E5" w:rsidRDefault="002E11E5" w:rsidP="002E11E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PhD Pulmonary function abnormalities in sickle cell disease – GKT School of Medicine</w:t>
            </w:r>
          </w:p>
          <w:p w14:paraId="6E595BA6" w14:textId="77777777" w:rsidR="002E11E5" w:rsidRDefault="002E11E5" w:rsidP="002E11E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Band 7 Lead – Lung Function – Addenbrooke’s Hospital</w:t>
            </w:r>
          </w:p>
          <w:p w14:paraId="7DB10B1B" w14:textId="77777777" w:rsidR="002E11E5" w:rsidRDefault="002E11E5" w:rsidP="002E11E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Band 8a Lead </w:t>
            </w:r>
            <w:r>
              <w:t>– Lung Function – Addenbrooke’s Hospital</w:t>
            </w:r>
          </w:p>
          <w:p w14:paraId="67DCB358" w14:textId="77777777" w:rsidR="002E11E5" w:rsidRDefault="002E11E5" w:rsidP="002E11E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Band 8b – Head of Joint Respiratory Physiology, CUH &amp; RPH</w:t>
            </w:r>
          </w:p>
          <w:p w14:paraId="50BA6C07" w14:textId="71816799" w:rsidR="009A231C" w:rsidRDefault="009A231C" w:rsidP="002E11E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Band 8d – Consultant Healthcare Scientist</w:t>
            </w:r>
          </w:p>
        </w:tc>
      </w:tr>
      <w:tr w:rsidR="00C66398" w14:paraId="33110136" w14:textId="77777777" w:rsidTr="00C66398">
        <w:trPr>
          <w:trHeight w:val="890"/>
        </w:trPr>
        <w:tc>
          <w:tcPr>
            <w:cnfStyle w:val="001000000000" w:firstRow="0" w:lastRow="0" w:firstColumn="1" w:lastColumn="0" w:oddVBand="0" w:evenVBand="0" w:oddHBand="0" w:evenHBand="0" w:firstRowFirstColumn="0" w:firstRowLastColumn="0" w:lastRowFirstColumn="0" w:lastRowLastColumn="0"/>
            <w:tcW w:w="3686" w:type="dxa"/>
          </w:tcPr>
          <w:p w14:paraId="259F8162" w14:textId="77777777" w:rsidR="00C66398" w:rsidRDefault="00C66398">
            <w:r>
              <w:t>Reflections or advice</w:t>
            </w:r>
          </w:p>
          <w:p w14:paraId="162AA981" w14:textId="174386AB" w:rsidR="00C66398" w:rsidRDefault="00C66398">
            <w:r>
              <w:rPr>
                <w:i/>
                <w:iCs/>
                <w:sz w:val="20"/>
                <w:szCs w:val="20"/>
              </w:rPr>
              <w:t>For those aspiring to reach this level</w:t>
            </w:r>
          </w:p>
        </w:tc>
        <w:tc>
          <w:tcPr>
            <w:tcW w:w="6804" w:type="dxa"/>
          </w:tcPr>
          <w:p w14:paraId="5B0C21DC" w14:textId="78A6BA27" w:rsidR="00C66398" w:rsidRDefault="009A231C">
            <w:pPr>
              <w:cnfStyle w:val="000000000000" w:firstRow="0" w:lastRow="0" w:firstColumn="0" w:lastColumn="0" w:oddVBand="0" w:evenVBand="0" w:oddHBand="0" w:evenHBand="0" w:firstRowFirstColumn="0" w:firstRowLastColumn="0" w:lastRowFirstColumn="0" w:lastRowLastColumn="0"/>
            </w:pPr>
            <w:r>
              <w:t xml:space="preserve">Take your time. Don’t be in a rush to get there, you’ll miss so many important aspects to the role on the journey. I know there is a drive to reach these levels as quick as possible, but you’ll </w:t>
            </w:r>
            <w:r>
              <w:lastRenderedPageBreak/>
              <w:t>find you are ill equipped to take on the challenges of the role if you haven’t experienced the processes on the way up. Immerse yourself at every level with the workings of a functioning respiratory physiology service.</w:t>
            </w:r>
          </w:p>
          <w:p w14:paraId="7DB565D8" w14:textId="6226475F" w:rsidR="009A231C" w:rsidRDefault="009A231C">
            <w:pPr>
              <w:cnfStyle w:val="000000000000" w:firstRow="0" w:lastRow="0" w:firstColumn="0" w:lastColumn="0" w:oddVBand="0" w:evenVBand="0" w:oddHBand="0" w:evenHBand="0" w:firstRowFirstColumn="0" w:firstRowLastColumn="0" w:lastRowFirstColumn="0" w:lastRowLastColumn="0"/>
            </w:pPr>
            <w:r>
              <w:t xml:space="preserve">Build those clinical relationships. Form alliances with clinicians, operations, everyone. It is easier to make change if you bring everyone along with you rather than trying to continually fight the system. Sometimes you win, sometimes you lose. Get used to dealing with disappointment, build resilience and strategies to deal with it to come back stronger. Everyone has their place in the delivery of healthcare. You are not better than anyone else! </w:t>
            </w:r>
          </w:p>
        </w:tc>
      </w:tr>
      <w:tr w:rsidR="00C66398" w14:paraId="5B4E83B7" w14:textId="77777777" w:rsidTr="00C66398">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62831F24" w14:textId="5326E850" w:rsidR="00C66398" w:rsidRDefault="009A231C" w:rsidP="00C66398">
            <w:pPr>
              <w:jc w:val="center"/>
            </w:pPr>
            <w:sdt>
              <w:sdtPr>
                <w:id w:val="-1831747183"/>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C66398">
              <w:t xml:space="preserve"> I am happy for this case study to be published on the ARTP website</w:t>
            </w:r>
          </w:p>
        </w:tc>
      </w:tr>
      <w:tr w:rsidR="00C66398" w14:paraId="0489469C" w14:textId="77777777" w:rsidTr="00C66398">
        <w:trPr>
          <w:trHeight w:val="83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710FC1C3" w14:textId="3EAAABA2" w:rsidR="00C66398" w:rsidRDefault="009A231C" w:rsidP="00C66398">
            <w:pPr>
              <w:jc w:val="center"/>
            </w:pPr>
            <w:sdt>
              <w:sdtPr>
                <w:id w:val="-89505059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C66398">
              <w:t xml:space="preserve"> I</w:t>
            </w:r>
            <w:r w:rsidR="00C66398" w:rsidRPr="00C66398">
              <w:t xml:space="preserve"> consent to it being shared with BTS and used in workforce advocacy material</w:t>
            </w:r>
          </w:p>
        </w:tc>
      </w:tr>
    </w:tbl>
    <w:p w14:paraId="14A7A6D2" w14:textId="77777777" w:rsidR="004268C0" w:rsidRDefault="004268C0"/>
    <w:sectPr w:rsidR="004268C0" w:rsidSect="00C66398">
      <w:head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9F6F" w14:textId="77777777" w:rsidR="004268C0" w:rsidRDefault="004268C0" w:rsidP="004268C0">
      <w:pPr>
        <w:spacing w:after="0" w:line="240" w:lineRule="auto"/>
      </w:pPr>
      <w:r>
        <w:separator/>
      </w:r>
    </w:p>
  </w:endnote>
  <w:endnote w:type="continuationSeparator" w:id="0">
    <w:p w14:paraId="4361837A" w14:textId="77777777" w:rsidR="004268C0" w:rsidRDefault="004268C0" w:rsidP="0042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913A" w14:textId="77777777" w:rsidR="004268C0" w:rsidRDefault="004268C0" w:rsidP="004268C0">
      <w:pPr>
        <w:spacing w:after="0" w:line="240" w:lineRule="auto"/>
      </w:pPr>
      <w:r>
        <w:separator/>
      </w:r>
    </w:p>
  </w:footnote>
  <w:footnote w:type="continuationSeparator" w:id="0">
    <w:p w14:paraId="1A0F93D1" w14:textId="77777777" w:rsidR="004268C0" w:rsidRDefault="004268C0" w:rsidP="0042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BBBA" w14:textId="77777777" w:rsidR="00C66398" w:rsidRPr="00C66398" w:rsidRDefault="00C66398" w:rsidP="00C66398">
    <w:pPr>
      <w:pStyle w:val="Header"/>
      <w:rPr>
        <w:b/>
        <w:bCs/>
      </w:rPr>
    </w:pPr>
    <w:r w:rsidRPr="00C66398">
      <w:rPr>
        <w:b/>
        <w:bCs/>
        <w:noProof/>
      </w:rPr>
      <w:drawing>
        <wp:anchor distT="0" distB="0" distL="114300" distR="114300" simplePos="0" relativeHeight="251658240" behindDoc="0" locked="0" layoutInCell="1" allowOverlap="1" wp14:anchorId="02507AE4" wp14:editId="0C51E302">
          <wp:simplePos x="0" y="0"/>
          <wp:positionH relativeFrom="column">
            <wp:posOffset>-628650</wp:posOffset>
          </wp:positionH>
          <wp:positionV relativeFrom="paragraph">
            <wp:posOffset>-440055</wp:posOffset>
          </wp:positionV>
          <wp:extent cx="2190750" cy="794385"/>
          <wp:effectExtent l="0" t="0" r="0" b="5715"/>
          <wp:wrapSquare wrapText="bothSides"/>
          <wp:docPr id="388130458" name="Picture 6" descr="A close-up of a logo&#10;&#10;AI-generated content may be incorrect.">
            <a:extLst xmlns:a="http://schemas.openxmlformats.org/drawingml/2006/main">
              <a:ext uri="{FF2B5EF4-FFF2-40B4-BE49-F238E27FC236}">
                <a16:creationId xmlns:a16="http://schemas.microsoft.com/office/drawing/2014/main" id="{7E0A53E9-1280-4BFD-AA30-03ABD62C34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up of a logo&#10;&#10;AI-generated content may be incorrect.">
                    <a:extLst>
                      <a:ext uri="{FF2B5EF4-FFF2-40B4-BE49-F238E27FC236}">
                        <a16:creationId xmlns:a16="http://schemas.microsoft.com/office/drawing/2014/main" id="{7E0A53E9-1280-4BFD-AA30-03ABD62C349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0750" cy="794385"/>
                  </a:xfrm>
                  <a:prstGeom prst="rect">
                    <a:avLst/>
                  </a:prstGeom>
                </pic:spPr>
              </pic:pic>
            </a:graphicData>
          </a:graphic>
          <wp14:sizeRelH relativeFrom="page">
            <wp14:pctWidth>0</wp14:pctWidth>
          </wp14:sizeRelH>
          <wp14:sizeRelV relativeFrom="page">
            <wp14:pctHeight>0</wp14:pctHeight>
          </wp14:sizeRelV>
        </wp:anchor>
      </w:drawing>
    </w:r>
    <w:r w:rsidR="004268C0" w:rsidRPr="00C66398">
      <w:rPr>
        <w:b/>
        <w:bCs/>
      </w:rPr>
      <w:t>Consultant Clinical Scientist Case Studies</w:t>
    </w:r>
  </w:p>
  <w:p w14:paraId="1A05FCF1" w14:textId="1E1E30B6" w:rsidR="004268C0" w:rsidRDefault="004268C0" w:rsidP="00C66398">
    <w:pPr>
      <w:pStyle w:val="Header"/>
    </w:pPr>
    <w:r>
      <w:t>Respiratory and Sleep Scien</w:t>
    </w:r>
    <w:r w:rsidR="00C66398">
      <w:t>tists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263"/>
    <w:multiLevelType w:val="hybridMultilevel"/>
    <w:tmpl w:val="73BA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3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C0"/>
    <w:rsid w:val="002351F5"/>
    <w:rsid w:val="002E11E5"/>
    <w:rsid w:val="004268C0"/>
    <w:rsid w:val="009A231C"/>
    <w:rsid w:val="00A96C58"/>
    <w:rsid w:val="00C6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2E3EA"/>
  <w15:chartTrackingRefBased/>
  <w15:docId w15:val="{0F0E69FA-EB92-4B7E-8361-58E93246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8C0"/>
    <w:rPr>
      <w:rFonts w:eastAsiaTheme="majorEastAsia" w:cstheme="majorBidi"/>
      <w:color w:val="272727" w:themeColor="text1" w:themeTint="D8"/>
    </w:rPr>
  </w:style>
  <w:style w:type="paragraph" w:styleId="Title">
    <w:name w:val="Title"/>
    <w:basedOn w:val="Normal"/>
    <w:next w:val="Normal"/>
    <w:link w:val="TitleChar"/>
    <w:uiPriority w:val="10"/>
    <w:qFormat/>
    <w:rsid w:val="0042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8C0"/>
    <w:pPr>
      <w:spacing w:before="160"/>
      <w:jc w:val="center"/>
    </w:pPr>
    <w:rPr>
      <w:i/>
      <w:iCs/>
      <w:color w:val="404040" w:themeColor="text1" w:themeTint="BF"/>
    </w:rPr>
  </w:style>
  <w:style w:type="character" w:customStyle="1" w:styleId="QuoteChar">
    <w:name w:val="Quote Char"/>
    <w:basedOn w:val="DefaultParagraphFont"/>
    <w:link w:val="Quote"/>
    <w:uiPriority w:val="29"/>
    <w:rsid w:val="004268C0"/>
    <w:rPr>
      <w:i/>
      <w:iCs/>
      <w:color w:val="404040" w:themeColor="text1" w:themeTint="BF"/>
    </w:rPr>
  </w:style>
  <w:style w:type="paragraph" w:styleId="ListParagraph">
    <w:name w:val="List Paragraph"/>
    <w:basedOn w:val="Normal"/>
    <w:uiPriority w:val="34"/>
    <w:qFormat/>
    <w:rsid w:val="004268C0"/>
    <w:pPr>
      <w:ind w:left="720"/>
      <w:contextualSpacing/>
    </w:pPr>
  </w:style>
  <w:style w:type="character" w:styleId="IntenseEmphasis">
    <w:name w:val="Intense Emphasis"/>
    <w:basedOn w:val="DefaultParagraphFont"/>
    <w:uiPriority w:val="21"/>
    <w:qFormat/>
    <w:rsid w:val="004268C0"/>
    <w:rPr>
      <w:i/>
      <w:iCs/>
      <w:color w:val="0F4761" w:themeColor="accent1" w:themeShade="BF"/>
    </w:rPr>
  </w:style>
  <w:style w:type="paragraph" w:styleId="IntenseQuote">
    <w:name w:val="Intense Quote"/>
    <w:basedOn w:val="Normal"/>
    <w:next w:val="Normal"/>
    <w:link w:val="IntenseQuoteChar"/>
    <w:uiPriority w:val="30"/>
    <w:qFormat/>
    <w:rsid w:val="0042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8C0"/>
    <w:rPr>
      <w:i/>
      <w:iCs/>
      <w:color w:val="0F4761" w:themeColor="accent1" w:themeShade="BF"/>
    </w:rPr>
  </w:style>
  <w:style w:type="character" w:styleId="IntenseReference">
    <w:name w:val="Intense Reference"/>
    <w:basedOn w:val="DefaultParagraphFont"/>
    <w:uiPriority w:val="32"/>
    <w:qFormat/>
    <w:rsid w:val="004268C0"/>
    <w:rPr>
      <w:b/>
      <w:bCs/>
      <w:smallCaps/>
      <w:color w:val="0F4761" w:themeColor="accent1" w:themeShade="BF"/>
      <w:spacing w:val="5"/>
    </w:rPr>
  </w:style>
  <w:style w:type="paragraph" w:styleId="Header">
    <w:name w:val="header"/>
    <w:basedOn w:val="Normal"/>
    <w:link w:val="HeaderChar"/>
    <w:uiPriority w:val="99"/>
    <w:unhideWhenUsed/>
    <w:rsid w:val="00426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C0"/>
  </w:style>
  <w:style w:type="paragraph" w:styleId="Footer">
    <w:name w:val="footer"/>
    <w:basedOn w:val="Normal"/>
    <w:link w:val="FooterChar"/>
    <w:uiPriority w:val="99"/>
    <w:unhideWhenUsed/>
    <w:rsid w:val="00426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C0"/>
  </w:style>
  <w:style w:type="table" w:styleId="TableGrid">
    <w:name w:val="Table Grid"/>
    <w:basedOn w:val="TableNormal"/>
    <w:uiPriority w:val="39"/>
    <w:rsid w:val="0042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C663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753</Words>
  <Characters>4298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Max (UNIVERSITY HOSPITALS SUSSEX NHS FOUNDATION TRUST)</dc:creator>
  <cp:keywords/>
  <dc:description/>
  <cp:lastModifiedBy>SYLVESTER, Karl (ROYAL PAPWORTH HOSPITAL NHS FOUNDATION TRUST)</cp:lastModifiedBy>
  <cp:revision>2</cp:revision>
  <dcterms:created xsi:type="dcterms:W3CDTF">2025-09-23T07:58:00Z</dcterms:created>
  <dcterms:modified xsi:type="dcterms:W3CDTF">2025-09-23T07:58:00Z</dcterms:modified>
</cp:coreProperties>
</file>